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05" w:rsidRPr="00C46B8C" w:rsidRDefault="00F56B0B" w:rsidP="00570131">
      <w:pPr>
        <w:pStyle w:val="Heading1"/>
        <w:jc w:val="center"/>
        <w:rPr>
          <w:rFonts w:ascii="Arial" w:hAnsi="Arial" w:cs="Arial"/>
        </w:rPr>
      </w:pPr>
      <w:r w:rsidRPr="00C46B8C">
        <w:rPr>
          <w:rFonts w:ascii="Arial" w:hAnsi="Arial" w:cs="Arial"/>
        </w:rPr>
        <w:t>Expression of Interest (EoI) for Batch Manufacturing of Medical Devices &amp; Diagnostics for Clinical Investigation</w:t>
      </w:r>
    </w:p>
    <w:p w:rsidR="002C1805" w:rsidRPr="00C46B8C" w:rsidRDefault="00F56B0B" w:rsidP="00570131">
      <w:pPr>
        <w:jc w:val="center"/>
        <w:rPr>
          <w:rFonts w:cs="Arial"/>
        </w:rPr>
      </w:pPr>
      <w:r w:rsidRPr="00C46B8C">
        <w:rPr>
          <w:rFonts w:cs="Arial"/>
        </w:rPr>
        <w:t>INDIAN COUNCIL OF MEDICAL RESEARCH (ICMR)</w:t>
      </w:r>
      <w:r w:rsidRPr="00C46B8C">
        <w:rPr>
          <w:rFonts w:cs="Arial"/>
        </w:rPr>
        <w:br/>
        <w:t>Division of Development Research</w:t>
      </w:r>
      <w:r w:rsidRPr="00C46B8C">
        <w:rPr>
          <w:rFonts w:cs="Arial"/>
        </w:rPr>
        <w:br/>
        <w:t>New Delhi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Background</w:t>
      </w:r>
    </w:p>
    <w:p w:rsidR="00B31DDF" w:rsidRPr="00C46B8C" w:rsidRDefault="00B3622F" w:rsidP="00570131">
      <w:pPr>
        <w:jc w:val="both"/>
        <w:rPr>
          <w:rFonts w:cs="Arial"/>
        </w:rPr>
      </w:pPr>
      <w:r w:rsidRPr="00C46B8C">
        <w:rPr>
          <w:rFonts w:cs="Arial"/>
        </w:rPr>
        <w:t xml:space="preserve">The Indian Council of Medical Research (ICMR), under the Department of Health Research (DHR), is the apex body for biomedical research in India. </w:t>
      </w:r>
      <w:r w:rsidR="00F81B6F" w:rsidRPr="00C46B8C">
        <w:rPr>
          <w:rFonts w:cs="Arial"/>
        </w:rPr>
        <w:t xml:space="preserve">In alignment with the vision of </w:t>
      </w:r>
      <w:proofErr w:type="spellStart"/>
      <w:r w:rsidR="00F81B6F" w:rsidRPr="00C46B8C">
        <w:rPr>
          <w:rFonts w:cs="Arial"/>
        </w:rPr>
        <w:t>Viksit</w:t>
      </w:r>
      <w:proofErr w:type="spellEnd"/>
      <w:r w:rsidR="00F81B6F" w:rsidRPr="00C46B8C">
        <w:rPr>
          <w:rFonts w:cs="Arial"/>
        </w:rPr>
        <w:t xml:space="preserve"> Bharat@2047, ICMR is committed to promote research &amp; development of indigenous medical devices and diagnostics.  </w:t>
      </w:r>
      <w:r w:rsidR="001E7B69" w:rsidRPr="00C46B8C">
        <w:rPr>
          <w:rFonts w:cs="Arial"/>
        </w:rPr>
        <w:t>Hence, i</w:t>
      </w:r>
      <w:r w:rsidRPr="00C46B8C">
        <w:rPr>
          <w:rFonts w:cs="Arial"/>
        </w:rPr>
        <w:t xml:space="preserve">t has launched several flagship initiatives—such as MedTech Mitra and Patent Mitra—to provide </w:t>
      </w:r>
      <w:r w:rsidR="001E7B69" w:rsidRPr="00C46B8C">
        <w:rPr>
          <w:rFonts w:cs="Arial"/>
        </w:rPr>
        <w:t>holistic</w:t>
      </w:r>
      <w:r w:rsidRPr="00C46B8C">
        <w:rPr>
          <w:rFonts w:cs="Arial"/>
        </w:rPr>
        <w:t xml:space="preserve"> support for healthcare technologies aligned w</w:t>
      </w:r>
      <w:r w:rsidR="000B155D" w:rsidRPr="00C46B8C">
        <w:rPr>
          <w:rFonts w:cs="Arial"/>
        </w:rPr>
        <w:t xml:space="preserve">ith national health </w:t>
      </w:r>
      <w:r w:rsidRPr="00C46B8C">
        <w:rPr>
          <w:rFonts w:cs="Arial"/>
        </w:rPr>
        <w:t>priorities</w:t>
      </w:r>
      <w:r w:rsidR="001E7B69" w:rsidRPr="00C46B8C">
        <w:rPr>
          <w:rFonts w:cs="Arial"/>
        </w:rPr>
        <w:t>, especially for infectious diseases and pandemic preparedness</w:t>
      </w:r>
      <w:r w:rsidRPr="00C46B8C">
        <w:rPr>
          <w:rFonts w:cs="Arial"/>
        </w:rPr>
        <w:t>.</w:t>
      </w:r>
      <w:r w:rsidR="001E7B69" w:rsidRPr="00C46B8C">
        <w:rPr>
          <w:rFonts w:cs="Arial"/>
        </w:rPr>
        <w:t xml:space="preserve"> </w:t>
      </w:r>
      <w:r w:rsidR="00F56B0B" w:rsidRPr="00C46B8C">
        <w:rPr>
          <w:rFonts w:cs="Arial"/>
        </w:rPr>
        <w:br/>
      </w:r>
    </w:p>
    <w:p w:rsidR="000B155D" w:rsidRPr="00C46B8C" w:rsidRDefault="00570131" w:rsidP="00570131">
      <w:pPr>
        <w:jc w:val="both"/>
        <w:rPr>
          <w:rFonts w:cs="Arial"/>
        </w:rPr>
      </w:pPr>
      <w:r w:rsidRPr="00C46B8C">
        <w:rPr>
          <w:rFonts w:cs="Arial"/>
        </w:rPr>
        <w:t>Test batch manufacturing is a critical step in the technology development pathway. It bridges the gap between prototype development and full-scale production by validating manufacturing processes, ensuring regulatory-compliant technology for preclinical/clinical evaluation, and mitigating risks before market launch. It helps refine quality, reduce scale-up issues, and accelerate time to market.</w:t>
      </w:r>
    </w:p>
    <w:p w:rsidR="002C1805" w:rsidRPr="00C46B8C" w:rsidRDefault="00F56B0B" w:rsidP="00570131">
      <w:pPr>
        <w:jc w:val="both"/>
        <w:rPr>
          <w:rFonts w:eastAsiaTheme="majorEastAsia" w:cs="Arial"/>
          <w:b/>
          <w:bCs/>
          <w:color w:val="4F81BD" w:themeColor="accent1"/>
          <w:sz w:val="26"/>
          <w:szCs w:val="26"/>
        </w:rPr>
      </w:pPr>
      <w:r w:rsidRPr="00C46B8C">
        <w:rPr>
          <w:rFonts w:eastAsiaTheme="majorEastAsia" w:cs="Arial"/>
          <w:b/>
          <w:bCs/>
          <w:color w:val="4F81BD" w:themeColor="accent1"/>
          <w:sz w:val="26"/>
          <w:szCs w:val="26"/>
        </w:rPr>
        <w:t>Purpose</w:t>
      </w:r>
    </w:p>
    <w:p w:rsidR="006E1BCA" w:rsidRDefault="00B3622F" w:rsidP="00570131">
      <w:pPr>
        <w:jc w:val="both"/>
        <w:rPr>
          <w:rFonts w:cs="Arial"/>
        </w:rPr>
      </w:pPr>
      <w:r w:rsidRPr="00C46B8C">
        <w:rPr>
          <w:rFonts w:cs="Arial"/>
        </w:rPr>
        <w:t xml:space="preserve">The purpose of this EOI is to </w:t>
      </w:r>
      <w:r w:rsidR="00BD42F3" w:rsidRPr="00C46B8C">
        <w:rPr>
          <w:rFonts w:cs="Arial"/>
        </w:rPr>
        <w:t xml:space="preserve">invite applications from innovators requiring </w:t>
      </w:r>
      <w:r w:rsidR="000B155D" w:rsidRPr="00C46B8C">
        <w:rPr>
          <w:rFonts w:cs="Arial"/>
        </w:rPr>
        <w:t xml:space="preserve">support </w:t>
      </w:r>
      <w:r w:rsidR="00BD42F3" w:rsidRPr="00C46B8C">
        <w:rPr>
          <w:rFonts w:cs="Arial"/>
        </w:rPr>
        <w:t xml:space="preserve">for </w:t>
      </w:r>
      <w:r w:rsidR="000B155D" w:rsidRPr="00C46B8C">
        <w:rPr>
          <w:rFonts w:cs="Arial"/>
        </w:rPr>
        <w:t>test batch manufacturing of medical devices and diagnostics</w:t>
      </w:r>
      <w:r w:rsidR="00BD42F3" w:rsidRPr="00C46B8C">
        <w:rPr>
          <w:rFonts w:cs="Arial"/>
        </w:rPr>
        <w:t xml:space="preserve"> including S</w:t>
      </w:r>
      <w:r w:rsidR="00AD198A" w:rsidRPr="00C46B8C">
        <w:rPr>
          <w:rFonts w:cs="Arial"/>
        </w:rPr>
        <w:t>oftware as Medial Device (</w:t>
      </w:r>
      <w:proofErr w:type="spellStart"/>
      <w:r w:rsidR="00AD198A" w:rsidRPr="00C46B8C">
        <w:rPr>
          <w:rFonts w:cs="Arial"/>
        </w:rPr>
        <w:t>SaMD</w:t>
      </w:r>
      <w:proofErr w:type="spellEnd"/>
      <w:r w:rsidR="00AD198A" w:rsidRPr="00C46B8C">
        <w:rPr>
          <w:rFonts w:cs="Arial"/>
        </w:rPr>
        <w:t>).</w:t>
      </w:r>
      <w:r w:rsidR="00BD42F3" w:rsidRPr="00C46B8C">
        <w:rPr>
          <w:rFonts w:cs="Arial"/>
        </w:rPr>
        <w:t xml:space="preserve"> </w:t>
      </w:r>
    </w:p>
    <w:p w:rsidR="006E1BCA" w:rsidRDefault="006E1BCA" w:rsidP="00570131">
      <w:pPr>
        <w:pStyle w:val="Heading2"/>
        <w:jc w:val="both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6E1BCA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Subsequently, ICMR will facilitate regulation-compliant preclinical and clinical evaluations of the test batches for selected devices/diagnostics, thereby accelerating their innovation journey and enabling timely market access.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Scope</w:t>
      </w:r>
    </w:p>
    <w:p w:rsidR="002C1805" w:rsidRPr="00C46B8C" w:rsidRDefault="00F56B0B" w:rsidP="00570131">
      <w:pPr>
        <w:jc w:val="both"/>
        <w:rPr>
          <w:rFonts w:cs="Arial"/>
        </w:rPr>
      </w:pPr>
      <w:r w:rsidRPr="00C46B8C">
        <w:rPr>
          <w:rFonts w:cs="Arial"/>
        </w:rPr>
        <w:t>Applicants should meet the following requirements:</w:t>
      </w:r>
      <w:r w:rsidRPr="00C46B8C">
        <w:rPr>
          <w:rFonts w:cs="Arial"/>
        </w:rPr>
        <w:br/>
        <w:t xml:space="preserve">- Start-ups (DPIIT registered), MSMEs, </w:t>
      </w:r>
      <w:r w:rsidR="004618E6" w:rsidRPr="00C46B8C">
        <w:rPr>
          <w:rFonts w:cs="Arial"/>
        </w:rPr>
        <w:t>DSIR recognized R&amp;D</w:t>
      </w:r>
      <w:r w:rsidRPr="00C46B8C">
        <w:rPr>
          <w:rFonts w:cs="Arial"/>
        </w:rPr>
        <w:t>, Deemed Universities, NGOs (registered with DSIR and NITI Aayog’s NGO DARPAN) or Government Medical Colleges/Research La</w:t>
      </w:r>
      <w:r w:rsidR="00B31DDF" w:rsidRPr="00C46B8C">
        <w:rPr>
          <w:rFonts w:cs="Arial"/>
        </w:rPr>
        <w:t>bs/ICMR Institutes.</w:t>
      </w:r>
      <w:r w:rsidR="00B31DDF" w:rsidRPr="00C46B8C">
        <w:rPr>
          <w:rFonts w:cs="Arial"/>
        </w:rPr>
        <w:br/>
        <w:t>- Possess</w:t>
      </w:r>
      <w:r w:rsidRPr="00C46B8C">
        <w:rPr>
          <w:rFonts w:cs="Arial"/>
        </w:rPr>
        <w:t xml:space="preserve"> MD-13 license for the proposed technolo</w:t>
      </w:r>
      <w:r w:rsidR="00673F2D" w:rsidRPr="00C46B8C">
        <w:rPr>
          <w:rFonts w:cs="Arial"/>
        </w:rPr>
        <w:t>gy for test batch manufacturing or</w:t>
      </w:r>
      <w:r w:rsidR="004618E6" w:rsidRPr="00C46B8C">
        <w:rPr>
          <w:rFonts w:cs="Arial"/>
        </w:rPr>
        <w:t xml:space="preserve"> provides the same at the time of selection. </w:t>
      </w:r>
      <w:r w:rsidRPr="00C46B8C">
        <w:rPr>
          <w:rFonts w:cs="Arial"/>
        </w:rPr>
        <w:br/>
      </w:r>
      <w:r w:rsidR="000B155D" w:rsidRPr="00C46B8C">
        <w:rPr>
          <w:rFonts w:cs="Arial"/>
        </w:rPr>
        <w:br/>
      </w:r>
      <w:r w:rsidRPr="00C46B8C">
        <w:rPr>
          <w:rFonts w:cs="Arial"/>
        </w:rPr>
        <w:br/>
      </w:r>
      <w:r w:rsidR="004618E6" w:rsidRPr="00C46B8C">
        <w:rPr>
          <w:rFonts w:cs="Arial"/>
        </w:rPr>
        <w:t>Applications for therapeutics &amp; vaccine candidates will be excluded</w:t>
      </w:r>
      <w:r w:rsidRPr="00C46B8C">
        <w:rPr>
          <w:rFonts w:cs="Arial"/>
        </w:rPr>
        <w:t xml:space="preserve">. 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lastRenderedPageBreak/>
        <w:t>Submission of EoI</w:t>
      </w:r>
    </w:p>
    <w:p w:rsidR="002C1805" w:rsidRPr="00C46B8C" w:rsidRDefault="00F56B0B" w:rsidP="00E377F8">
      <w:pPr>
        <w:rPr>
          <w:rFonts w:cs="Arial"/>
        </w:rPr>
      </w:pPr>
      <w:r w:rsidRPr="00C46B8C">
        <w:rPr>
          <w:rFonts w:cs="Arial"/>
        </w:rPr>
        <w:t>All applications must be submitted through the ICMR e-PMS portal (https://epms.icmr.org.in/userLogin).</w:t>
      </w:r>
      <w:r w:rsidRPr="00C46B8C">
        <w:rPr>
          <w:rFonts w:cs="Arial"/>
        </w:rPr>
        <w:br/>
      </w:r>
      <w:r w:rsidRPr="00C46B8C">
        <w:rPr>
          <w:rFonts w:cs="Arial"/>
        </w:rPr>
        <w:br/>
        <w:t>Steps for submission</w:t>
      </w:r>
      <w:proofErr w:type="gramStart"/>
      <w:r w:rsidRPr="00C46B8C">
        <w:rPr>
          <w:rFonts w:cs="Arial"/>
        </w:rPr>
        <w:t>:</w:t>
      </w:r>
      <w:proofErr w:type="gramEnd"/>
      <w:r w:rsidRPr="00C46B8C">
        <w:rPr>
          <w:rFonts w:cs="Arial"/>
        </w:rPr>
        <w:br/>
        <w:t>1. Log in to the ePMS portal.</w:t>
      </w:r>
      <w:r w:rsidRPr="00C46B8C">
        <w:rPr>
          <w:rFonts w:cs="Arial"/>
        </w:rPr>
        <w:br/>
        <w:t>2. Complete the PI profile and institutional details.</w:t>
      </w:r>
      <w:r w:rsidRPr="00C46B8C">
        <w:rPr>
          <w:rFonts w:cs="Arial"/>
        </w:rPr>
        <w:br/>
        <w:t xml:space="preserve">3. Navigate to: Proposal submission → </w:t>
      </w:r>
      <w:proofErr w:type="spellStart"/>
      <w:r w:rsidR="0047434A" w:rsidRPr="00C46B8C">
        <w:rPr>
          <w:rFonts w:cs="Arial"/>
        </w:rPr>
        <w:t>EoI</w:t>
      </w:r>
      <w:proofErr w:type="spellEnd"/>
      <w:r w:rsidRPr="00C46B8C">
        <w:rPr>
          <w:rFonts w:cs="Arial"/>
        </w:rPr>
        <w:t xml:space="preserve"> → </w:t>
      </w:r>
      <w:r w:rsidR="000B155D" w:rsidRPr="00C46B8C">
        <w:rPr>
          <w:rFonts w:cs="Arial"/>
          <w:b/>
        </w:rPr>
        <w:t xml:space="preserve">‘Add new </w:t>
      </w:r>
      <w:proofErr w:type="spellStart"/>
      <w:r w:rsidR="000B155D" w:rsidRPr="00C46B8C">
        <w:rPr>
          <w:rFonts w:cs="Arial"/>
          <w:b/>
        </w:rPr>
        <w:t>EoI</w:t>
      </w:r>
      <w:proofErr w:type="spellEnd"/>
      <w:r w:rsidR="000B155D" w:rsidRPr="00C46B8C">
        <w:rPr>
          <w:rFonts w:cs="Arial"/>
          <w:b/>
        </w:rPr>
        <w:t xml:space="preserve"> proposal’</w:t>
      </w:r>
      <w:r w:rsidRPr="00C46B8C">
        <w:rPr>
          <w:rFonts w:cs="Arial"/>
        </w:rPr>
        <w:br/>
        <w:t>4. Fill the EoI form step-by-step and upload all relevant documents.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Review and Selection Criteria</w:t>
      </w:r>
    </w:p>
    <w:p w:rsidR="00281203" w:rsidRDefault="00F56B0B" w:rsidP="00E377F8">
      <w:pPr>
        <w:spacing w:after="0" w:line="240" w:lineRule="auto"/>
        <w:rPr>
          <w:rFonts w:cs="Arial"/>
        </w:rPr>
      </w:pPr>
      <w:r w:rsidRPr="00C46B8C">
        <w:rPr>
          <w:rFonts w:cs="Arial"/>
        </w:rPr>
        <w:t>A selection committee constituted by ICMR will evaluate the applications based on the following criteria</w:t>
      </w:r>
      <w:proofErr w:type="gramStart"/>
      <w:r w:rsidRPr="00C46B8C">
        <w:rPr>
          <w:rFonts w:cs="Arial"/>
        </w:rPr>
        <w:t>:</w:t>
      </w:r>
      <w:proofErr w:type="gramEnd"/>
      <w:r w:rsidRPr="00C46B8C">
        <w:rPr>
          <w:rFonts w:cs="Arial"/>
        </w:rPr>
        <w:br/>
        <w:t>1.</w:t>
      </w:r>
      <w:r w:rsidR="00281203">
        <w:rPr>
          <w:rFonts w:cs="Arial"/>
        </w:rPr>
        <w:t xml:space="preserve"> Unmet Need</w:t>
      </w:r>
      <w:r w:rsidRPr="00C46B8C">
        <w:rPr>
          <w:rFonts w:cs="Arial"/>
        </w:rPr>
        <w:t xml:space="preserve"> </w:t>
      </w:r>
    </w:p>
    <w:p w:rsidR="00974821" w:rsidRPr="00C46B8C" w:rsidRDefault="00281203" w:rsidP="00E377F8">
      <w:pPr>
        <w:spacing w:after="0" w:line="240" w:lineRule="auto"/>
        <w:rPr>
          <w:rFonts w:cs="Arial"/>
        </w:rPr>
      </w:pPr>
      <w:r>
        <w:rPr>
          <w:rFonts w:cs="Arial"/>
        </w:rPr>
        <w:t xml:space="preserve">2. </w:t>
      </w:r>
      <w:r w:rsidR="00F56B0B" w:rsidRPr="00C46B8C">
        <w:rPr>
          <w:rFonts w:cs="Arial"/>
        </w:rPr>
        <w:t>Novelty &amp; Innovation of the product.</w:t>
      </w:r>
      <w:r w:rsidR="00F56B0B" w:rsidRPr="00C46B8C">
        <w:rPr>
          <w:rFonts w:cs="Arial"/>
        </w:rPr>
        <w:br/>
      </w:r>
      <w:r>
        <w:rPr>
          <w:rFonts w:cs="Arial"/>
        </w:rPr>
        <w:t>3</w:t>
      </w:r>
      <w:r w:rsidR="00F56B0B" w:rsidRPr="00C46B8C">
        <w:rPr>
          <w:rFonts w:cs="Arial"/>
        </w:rPr>
        <w:t>. Alignment with National Health Priorities</w:t>
      </w:r>
      <w:r w:rsidR="008913B5" w:rsidRPr="00C46B8C">
        <w:rPr>
          <w:rFonts w:cs="Arial"/>
        </w:rPr>
        <w:t xml:space="preserve"> (especially for infectious diseases)</w:t>
      </w:r>
      <w:r w:rsidR="00F56B0B" w:rsidRPr="00C46B8C">
        <w:rPr>
          <w:rFonts w:cs="Arial"/>
        </w:rPr>
        <w:t>.</w:t>
      </w:r>
      <w:r w:rsidR="00F56B0B" w:rsidRPr="00C46B8C">
        <w:rPr>
          <w:rFonts w:cs="Arial"/>
        </w:rPr>
        <w:br/>
      </w:r>
      <w:r>
        <w:rPr>
          <w:rFonts w:cs="Arial"/>
        </w:rPr>
        <w:t>4</w:t>
      </w:r>
      <w:r w:rsidR="00F56B0B" w:rsidRPr="00C46B8C">
        <w:rPr>
          <w:rFonts w:cs="Arial"/>
        </w:rPr>
        <w:t xml:space="preserve">. Readiness for </w:t>
      </w:r>
      <w:r w:rsidR="004618E6" w:rsidRPr="00C46B8C">
        <w:rPr>
          <w:rFonts w:cs="Arial"/>
        </w:rPr>
        <w:t>Test License (MD-13)</w:t>
      </w:r>
      <w:r w:rsidR="00F56B0B" w:rsidRPr="00C46B8C">
        <w:rPr>
          <w:rFonts w:cs="Arial"/>
        </w:rPr>
        <w:t>.</w:t>
      </w:r>
      <w:r w:rsidR="00F56B0B" w:rsidRPr="00C46B8C">
        <w:rPr>
          <w:rFonts w:cs="Arial"/>
        </w:rPr>
        <w:br/>
      </w:r>
      <w:r>
        <w:rPr>
          <w:rFonts w:cs="Arial"/>
        </w:rPr>
        <w:t>5</w:t>
      </w:r>
      <w:r w:rsidR="00F56B0B" w:rsidRPr="00C46B8C">
        <w:rPr>
          <w:rFonts w:cs="Arial"/>
        </w:rPr>
        <w:t>. Clinical Relevance and Potential Public Health Impact.</w:t>
      </w:r>
    </w:p>
    <w:p w:rsidR="002C1805" w:rsidRPr="00C46B8C" w:rsidRDefault="00281203" w:rsidP="00E377F8">
      <w:pPr>
        <w:spacing w:after="0" w:line="240" w:lineRule="auto"/>
        <w:rPr>
          <w:rFonts w:cs="Arial"/>
        </w:rPr>
      </w:pPr>
      <w:r>
        <w:rPr>
          <w:rFonts w:cs="Arial"/>
        </w:rPr>
        <w:t>6</w:t>
      </w:r>
      <w:r w:rsidR="00974821" w:rsidRPr="00C46B8C">
        <w:rPr>
          <w:rFonts w:cs="Arial"/>
        </w:rPr>
        <w:t>. Techno-commercial evaluation – whether the candidate will have a reasonable marketable relevance.</w:t>
      </w:r>
      <w:r w:rsidR="00F56B0B" w:rsidRPr="00C46B8C">
        <w:rPr>
          <w:rFonts w:cs="Arial"/>
        </w:rPr>
        <w:br/>
      </w:r>
      <w:r w:rsidR="00F56B0B" w:rsidRPr="00C46B8C">
        <w:rPr>
          <w:rFonts w:cs="Arial"/>
        </w:rPr>
        <w:br/>
        <w:t>Decisions of the committee and ICMR’s competent authority will be final.</w:t>
      </w:r>
    </w:p>
    <w:p w:rsidR="008820A9" w:rsidRPr="00C46B8C" w:rsidRDefault="008820A9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Fund Release</w:t>
      </w:r>
    </w:p>
    <w:p w:rsidR="008820A9" w:rsidRPr="00C46B8C" w:rsidRDefault="008820A9" w:rsidP="00570131">
      <w:pPr>
        <w:jc w:val="both"/>
        <w:rPr>
          <w:rFonts w:cs="Arial"/>
        </w:rPr>
      </w:pPr>
      <w:r w:rsidRPr="00C46B8C">
        <w:rPr>
          <w:rFonts w:cs="Arial"/>
        </w:rPr>
        <w:t xml:space="preserve">50% </w:t>
      </w:r>
      <w:r w:rsidR="00C340B1">
        <w:rPr>
          <w:rFonts w:cs="Arial"/>
        </w:rPr>
        <w:t xml:space="preserve">fund release on project initiation </w:t>
      </w:r>
      <w:r w:rsidRPr="00C46B8C">
        <w:rPr>
          <w:rFonts w:cs="Arial"/>
        </w:rPr>
        <w:t xml:space="preserve">followed by 50% fund release upon </w:t>
      </w:r>
      <w:r w:rsidR="00C340B1">
        <w:rPr>
          <w:rFonts w:cs="Arial"/>
        </w:rPr>
        <w:t xml:space="preserve">submission of successful </w:t>
      </w:r>
      <w:r w:rsidRPr="00C46B8C">
        <w:rPr>
          <w:rFonts w:cs="Arial"/>
        </w:rPr>
        <w:t xml:space="preserve">analytical </w:t>
      </w:r>
      <w:r w:rsidR="00205D3B" w:rsidRPr="00C46B8C">
        <w:rPr>
          <w:rFonts w:cs="Arial"/>
        </w:rPr>
        <w:t>testing report of test batches of the selected technology.</w:t>
      </w:r>
    </w:p>
    <w:p w:rsidR="008820A9" w:rsidRPr="00C46B8C" w:rsidRDefault="008820A9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Deliverable</w:t>
      </w:r>
      <w:r w:rsidR="00AB4B3A" w:rsidRPr="00C46B8C">
        <w:rPr>
          <w:rFonts w:ascii="Arial" w:hAnsi="Arial" w:cs="Arial"/>
        </w:rPr>
        <w:t>/Output:</w:t>
      </w:r>
    </w:p>
    <w:p w:rsidR="0060049D" w:rsidRPr="00C46B8C" w:rsidRDefault="0060049D" w:rsidP="00570131">
      <w:pPr>
        <w:jc w:val="both"/>
        <w:rPr>
          <w:rFonts w:cs="Arial"/>
        </w:rPr>
      </w:pPr>
      <w:r w:rsidRPr="00C46B8C">
        <w:rPr>
          <w:rFonts w:cs="Arial"/>
        </w:rPr>
        <w:t xml:space="preserve">The selected applicant </w:t>
      </w:r>
      <w:r w:rsidR="00C83716">
        <w:rPr>
          <w:rFonts w:cs="Arial"/>
        </w:rPr>
        <w:t>advances</w:t>
      </w:r>
      <w:r w:rsidRPr="00C46B8C">
        <w:rPr>
          <w:rFonts w:cs="Arial"/>
        </w:rPr>
        <w:t xml:space="preserve"> to </w:t>
      </w:r>
      <w:r w:rsidR="00C83716">
        <w:rPr>
          <w:rFonts w:cs="Arial"/>
        </w:rPr>
        <w:t>regulation-compliant</w:t>
      </w:r>
      <w:r w:rsidRPr="00C46B8C">
        <w:rPr>
          <w:rFonts w:cs="Arial"/>
        </w:rPr>
        <w:t xml:space="preserve"> pre-clinical and/or clinical study </w:t>
      </w:r>
      <w:r w:rsidR="00C83716">
        <w:rPr>
          <w:rFonts w:cs="Arial"/>
        </w:rPr>
        <w:t>evaluation stage</w:t>
      </w:r>
      <w:r w:rsidR="00AB4B3A" w:rsidRPr="00C46B8C">
        <w:rPr>
          <w:rFonts w:cs="Arial"/>
        </w:rPr>
        <w:t>.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Expected Outcomes</w:t>
      </w:r>
    </w:p>
    <w:p w:rsidR="002C1805" w:rsidRPr="00C46B8C" w:rsidRDefault="00F56B0B" w:rsidP="00D720E3">
      <w:pPr>
        <w:rPr>
          <w:rFonts w:cs="Arial"/>
        </w:rPr>
      </w:pPr>
      <w:r w:rsidRPr="00C46B8C">
        <w:rPr>
          <w:rFonts w:cs="Arial"/>
        </w:rPr>
        <w:t xml:space="preserve">1. </w:t>
      </w:r>
      <w:r w:rsidR="00CD135B" w:rsidRPr="00C46B8C">
        <w:rPr>
          <w:rFonts w:cs="Arial"/>
        </w:rPr>
        <w:t>Facilitation</w:t>
      </w:r>
      <w:r w:rsidRPr="00C46B8C">
        <w:rPr>
          <w:rFonts w:cs="Arial"/>
        </w:rPr>
        <w:t xml:space="preserve"> of batch manufacturing of indigenous </w:t>
      </w:r>
      <w:r w:rsidR="00CD135B" w:rsidRPr="00C46B8C">
        <w:rPr>
          <w:rFonts w:cs="Arial"/>
        </w:rPr>
        <w:t>medical devices &amp; diagnostics</w:t>
      </w:r>
      <w:r w:rsidRPr="00C46B8C">
        <w:rPr>
          <w:rFonts w:cs="Arial"/>
        </w:rPr>
        <w:t>.</w:t>
      </w:r>
      <w:r w:rsidRPr="00C46B8C">
        <w:rPr>
          <w:rFonts w:cs="Arial"/>
        </w:rPr>
        <w:br/>
        <w:t>2. Acceleration of prec</w:t>
      </w:r>
      <w:r w:rsidR="00CD135B" w:rsidRPr="00C46B8C">
        <w:rPr>
          <w:rFonts w:cs="Arial"/>
        </w:rPr>
        <w:t xml:space="preserve">linical and clinical evaluation by ICMR through </w:t>
      </w:r>
      <w:proofErr w:type="spellStart"/>
      <w:r w:rsidR="00CD135B" w:rsidRPr="00C46B8C">
        <w:rPr>
          <w:rFonts w:cs="Arial"/>
        </w:rPr>
        <w:t>MedTech</w:t>
      </w:r>
      <w:proofErr w:type="spellEnd"/>
      <w:r w:rsidR="00CD135B" w:rsidRPr="00C46B8C">
        <w:rPr>
          <w:rFonts w:cs="Arial"/>
        </w:rPr>
        <w:t xml:space="preserve"> </w:t>
      </w:r>
      <w:proofErr w:type="spellStart"/>
      <w:r w:rsidR="00CD135B" w:rsidRPr="00C46B8C">
        <w:rPr>
          <w:rFonts w:cs="Arial"/>
        </w:rPr>
        <w:t>Mitra</w:t>
      </w:r>
      <w:proofErr w:type="spellEnd"/>
      <w:r w:rsidR="00CD135B" w:rsidRPr="00C46B8C">
        <w:rPr>
          <w:rFonts w:cs="Arial"/>
        </w:rPr>
        <w:t xml:space="preserve"> Initiative.</w:t>
      </w:r>
      <w:r w:rsidRPr="00C46B8C">
        <w:rPr>
          <w:rFonts w:cs="Arial"/>
        </w:rPr>
        <w:br/>
        <w:t>3. Strengthening India’s MedTech ecosystem toward self-reliance.</w:t>
      </w:r>
    </w:p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t>Timelines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3815"/>
      </w:tblGrid>
      <w:tr w:rsidR="002C1805" w:rsidRPr="00C46B8C" w:rsidTr="001B3AB6">
        <w:tc>
          <w:tcPr>
            <w:tcW w:w="4815" w:type="dxa"/>
          </w:tcPr>
          <w:p w:rsidR="002C1805" w:rsidRPr="00C46B8C" w:rsidRDefault="00F56B0B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Activity</w:t>
            </w:r>
          </w:p>
        </w:tc>
        <w:tc>
          <w:tcPr>
            <w:tcW w:w="3815" w:type="dxa"/>
          </w:tcPr>
          <w:p w:rsidR="002C1805" w:rsidRPr="00C46B8C" w:rsidRDefault="00F56B0B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Timeline</w:t>
            </w:r>
          </w:p>
        </w:tc>
      </w:tr>
      <w:tr w:rsidR="002C1805" w:rsidRPr="00C46B8C" w:rsidTr="001B3AB6">
        <w:tc>
          <w:tcPr>
            <w:tcW w:w="4815" w:type="dxa"/>
          </w:tcPr>
          <w:p w:rsidR="002C1805" w:rsidRPr="00C46B8C" w:rsidRDefault="00F56B0B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Release of Call</w:t>
            </w:r>
          </w:p>
        </w:tc>
        <w:tc>
          <w:tcPr>
            <w:tcW w:w="3815" w:type="dxa"/>
          </w:tcPr>
          <w:p w:rsidR="002C1805" w:rsidRPr="00C46B8C" w:rsidRDefault="001273D1" w:rsidP="00570131">
            <w:pPr>
              <w:jc w:val="both"/>
              <w:rPr>
                <w:rFonts w:cs="Arial"/>
              </w:rPr>
            </w:pPr>
            <w:r w:rsidRPr="001273D1">
              <w:rPr>
                <w:rFonts w:cs="Arial"/>
              </w:rPr>
              <w:t>0</w:t>
            </w:r>
            <w:r>
              <w:rPr>
                <w:rFonts w:cs="Arial"/>
              </w:rPr>
              <w:t>1</w:t>
            </w:r>
            <w:r w:rsidRPr="001273D1">
              <w:rPr>
                <w:rFonts w:cs="Arial"/>
              </w:rPr>
              <w:t xml:space="preserve"> September </w:t>
            </w:r>
            <w:r w:rsidR="00F56B0B" w:rsidRPr="00C46B8C">
              <w:rPr>
                <w:rFonts w:cs="Arial"/>
              </w:rPr>
              <w:t>2025</w:t>
            </w:r>
          </w:p>
        </w:tc>
      </w:tr>
      <w:tr w:rsidR="002C1805" w:rsidRPr="00C46B8C" w:rsidTr="001B3AB6">
        <w:tc>
          <w:tcPr>
            <w:tcW w:w="4815" w:type="dxa"/>
          </w:tcPr>
          <w:p w:rsidR="002C1805" w:rsidRPr="00C46B8C" w:rsidRDefault="00F56B0B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Last Date of Submission</w:t>
            </w:r>
          </w:p>
        </w:tc>
        <w:tc>
          <w:tcPr>
            <w:tcW w:w="3815" w:type="dxa"/>
          </w:tcPr>
          <w:p w:rsidR="002C1805" w:rsidRPr="00C46B8C" w:rsidRDefault="007470C8" w:rsidP="007470C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06 October</w:t>
            </w:r>
            <w:bookmarkStart w:id="0" w:name="_GoBack"/>
            <w:bookmarkEnd w:id="0"/>
            <w:r w:rsidR="00F56B0B" w:rsidRPr="00C46B8C">
              <w:rPr>
                <w:rFonts w:cs="Arial"/>
              </w:rPr>
              <w:t xml:space="preserve"> 2025, 17:</w:t>
            </w:r>
            <w:r w:rsidR="007E56BA" w:rsidRPr="00C46B8C">
              <w:rPr>
                <w:rFonts w:cs="Arial"/>
              </w:rPr>
              <w:t>3</w:t>
            </w:r>
            <w:r w:rsidR="00F56B0B" w:rsidRPr="00C46B8C">
              <w:rPr>
                <w:rFonts w:cs="Arial"/>
              </w:rPr>
              <w:t xml:space="preserve">0 </w:t>
            </w:r>
            <w:proofErr w:type="spellStart"/>
            <w:r w:rsidR="00F56B0B" w:rsidRPr="00C46B8C">
              <w:rPr>
                <w:rFonts w:cs="Arial"/>
              </w:rPr>
              <w:t>hrs</w:t>
            </w:r>
            <w:proofErr w:type="spellEnd"/>
          </w:p>
        </w:tc>
      </w:tr>
      <w:tr w:rsidR="002C1805" w:rsidRPr="00C46B8C" w:rsidTr="001B3AB6">
        <w:tc>
          <w:tcPr>
            <w:tcW w:w="4815" w:type="dxa"/>
          </w:tcPr>
          <w:p w:rsidR="002C1805" w:rsidRPr="00C46B8C" w:rsidRDefault="00F56B0B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Review and Selection</w:t>
            </w:r>
          </w:p>
        </w:tc>
        <w:tc>
          <w:tcPr>
            <w:tcW w:w="3815" w:type="dxa"/>
          </w:tcPr>
          <w:p w:rsidR="002C1805" w:rsidRPr="00C46B8C" w:rsidRDefault="002F2046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Oct</w:t>
            </w:r>
            <w:r w:rsidR="00F56B0B" w:rsidRPr="00C46B8C">
              <w:rPr>
                <w:rFonts w:cs="Arial"/>
              </w:rPr>
              <w:t xml:space="preserve"> 2025</w:t>
            </w:r>
          </w:p>
        </w:tc>
      </w:tr>
      <w:tr w:rsidR="002C1805" w:rsidRPr="00C46B8C" w:rsidTr="001B3AB6">
        <w:tc>
          <w:tcPr>
            <w:tcW w:w="4815" w:type="dxa"/>
          </w:tcPr>
          <w:p w:rsidR="002C1805" w:rsidRPr="00C46B8C" w:rsidRDefault="007E56BA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 xml:space="preserve">Proposal refinement&amp; final submission of documents </w:t>
            </w:r>
          </w:p>
        </w:tc>
        <w:tc>
          <w:tcPr>
            <w:tcW w:w="3815" w:type="dxa"/>
          </w:tcPr>
          <w:p w:rsidR="002C1805" w:rsidRPr="00C46B8C" w:rsidRDefault="002F2046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Nov</w:t>
            </w:r>
            <w:r w:rsidR="007E56BA" w:rsidRPr="00C46B8C">
              <w:rPr>
                <w:rFonts w:cs="Arial"/>
              </w:rPr>
              <w:t xml:space="preserve"> </w:t>
            </w:r>
            <w:r w:rsidR="00F56B0B" w:rsidRPr="00C46B8C">
              <w:rPr>
                <w:rFonts w:cs="Arial"/>
              </w:rPr>
              <w:t>2025</w:t>
            </w:r>
          </w:p>
        </w:tc>
      </w:tr>
      <w:tr w:rsidR="007E56BA" w:rsidRPr="00C46B8C" w:rsidTr="001B3AB6">
        <w:tc>
          <w:tcPr>
            <w:tcW w:w="4815" w:type="dxa"/>
          </w:tcPr>
          <w:p w:rsidR="007E56BA" w:rsidRPr="00C46B8C" w:rsidRDefault="007E56BA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Approval</w:t>
            </w:r>
          </w:p>
        </w:tc>
        <w:tc>
          <w:tcPr>
            <w:tcW w:w="3815" w:type="dxa"/>
          </w:tcPr>
          <w:p w:rsidR="007E56BA" w:rsidRPr="00C46B8C" w:rsidRDefault="002F2046" w:rsidP="00570131">
            <w:pPr>
              <w:jc w:val="both"/>
              <w:rPr>
                <w:rFonts w:cs="Arial"/>
              </w:rPr>
            </w:pPr>
            <w:r w:rsidRPr="00C46B8C">
              <w:rPr>
                <w:rFonts w:cs="Arial"/>
              </w:rPr>
              <w:t>December 2025</w:t>
            </w:r>
          </w:p>
        </w:tc>
      </w:tr>
    </w:tbl>
    <w:p w:rsidR="002C1805" w:rsidRPr="00C46B8C" w:rsidRDefault="00F56B0B" w:rsidP="00570131">
      <w:pPr>
        <w:pStyle w:val="Heading2"/>
        <w:jc w:val="both"/>
        <w:rPr>
          <w:rFonts w:ascii="Arial" w:hAnsi="Arial" w:cs="Arial"/>
        </w:rPr>
      </w:pPr>
      <w:r w:rsidRPr="00C46B8C">
        <w:rPr>
          <w:rFonts w:ascii="Arial" w:hAnsi="Arial" w:cs="Arial"/>
        </w:rPr>
        <w:lastRenderedPageBreak/>
        <w:t>Contact for Queries</w:t>
      </w:r>
    </w:p>
    <w:p w:rsidR="002C1805" w:rsidRPr="00C46B8C" w:rsidRDefault="00F56B0B" w:rsidP="00570131">
      <w:pPr>
        <w:jc w:val="both"/>
        <w:rPr>
          <w:rFonts w:cs="Arial"/>
        </w:rPr>
      </w:pPr>
      <w:r w:rsidRPr="00C46B8C">
        <w:rPr>
          <w:rFonts w:cs="Arial"/>
        </w:rPr>
        <w:t>Concern</w:t>
      </w:r>
      <w:r w:rsidRPr="00C46B8C">
        <w:rPr>
          <w:rFonts w:cs="Arial"/>
        </w:rPr>
        <w:tab/>
      </w:r>
      <w:r w:rsidRPr="00C46B8C">
        <w:rPr>
          <w:rFonts w:cs="Arial"/>
        </w:rPr>
        <w:tab/>
      </w:r>
      <w:r w:rsidRPr="00C46B8C">
        <w:rPr>
          <w:rFonts w:cs="Arial"/>
        </w:rPr>
        <w:tab/>
      </w:r>
      <w:r w:rsidRPr="00C46B8C">
        <w:rPr>
          <w:rFonts w:cs="Arial"/>
        </w:rPr>
        <w:tab/>
        <w:t>Email</w:t>
      </w:r>
      <w:r w:rsidRPr="00C46B8C">
        <w:rPr>
          <w:rFonts w:cs="Arial"/>
        </w:rPr>
        <w:br/>
        <w:t>Technical/Application Support</w:t>
      </w:r>
      <w:r w:rsidRPr="00C46B8C">
        <w:rPr>
          <w:rFonts w:cs="Arial"/>
        </w:rPr>
        <w:tab/>
        <w:t>po.epms@icmr.gov.in</w:t>
      </w:r>
      <w:r w:rsidRPr="00C46B8C">
        <w:rPr>
          <w:rFonts w:cs="Arial"/>
        </w:rPr>
        <w:br/>
        <w:t>Scientific Queries</w:t>
      </w:r>
      <w:r w:rsidRPr="00C46B8C">
        <w:rPr>
          <w:rFonts w:cs="Arial"/>
        </w:rPr>
        <w:tab/>
      </w:r>
      <w:r w:rsidRPr="00C46B8C">
        <w:rPr>
          <w:rFonts w:cs="Arial"/>
        </w:rPr>
        <w:tab/>
      </w:r>
      <w:r w:rsidRPr="00C46B8C">
        <w:rPr>
          <w:rFonts w:cs="Arial"/>
        </w:rPr>
        <w:tab/>
      </w:r>
      <w:r w:rsidR="0051170A">
        <w:rPr>
          <w:rFonts w:cs="Arial"/>
        </w:rPr>
        <w:t>suchita.markan@icmr.gov.in</w:t>
      </w:r>
    </w:p>
    <w:p w:rsidR="007E56BA" w:rsidRPr="00C46B8C" w:rsidRDefault="007E56BA" w:rsidP="00570131">
      <w:pPr>
        <w:pStyle w:val="Heading2"/>
        <w:jc w:val="both"/>
        <w:rPr>
          <w:rFonts w:ascii="Arial" w:hAnsi="Arial" w:cs="Arial"/>
        </w:rPr>
      </w:pPr>
    </w:p>
    <w:p w:rsidR="00564842" w:rsidRPr="00C46B8C" w:rsidRDefault="00564842" w:rsidP="00570131">
      <w:pPr>
        <w:jc w:val="both"/>
        <w:rPr>
          <w:rFonts w:eastAsiaTheme="majorEastAsia" w:cs="Arial"/>
          <w:b/>
          <w:bCs/>
          <w:color w:val="4F81BD" w:themeColor="accent1"/>
          <w:sz w:val="26"/>
          <w:szCs w:val="26"/>
        </w:rPr>
      </w:pPr>
      <w:r w:rsidRPr="00C46B8C">
        <w:rPr>
          <w:rFonts w:cs="Arial"/>
        </w:rPr>
        <w:br w:type="page"/>
      </w:r>
    </w:p>
    <w:p w:rsidR="003F12C4" w:rsidRDefault="003F12C4" w:rsidP="00C46B8C">
      <w:pPr>
        <w:spacing w:after="0" w:line="240" w:lineRule="auto"/>
        <w:jc w:val="center"/>
        <w:rPr>
          <w:rFonts w:cs="Arial"/>
          <w:b/>
        </w:rPr>
      </w:pPr>
      <w:r w:rsidRPr="00C46B8C">
        <w:rPr>
          <w:rFonts w:cs="Arial"/>
          <w:b/>
        </w:rPr>
        <w:lastRenderedPageBreak/>
        <w:t xml:space="preserve">Annexure I - Format for </w:t>
      </w:r>
      <w:proofErr w:type="spellStart"/>
      <w:r w:rsidRPr="00C46B8C">
        <w:rPr>
          <w:rFonts w:cs="Arial"/>
          <w:b/>
        </w:rPr>
        <w:t>EoI</w:t>
      </w:r>
      <w:proofErr w:type="spellEnd"/>
    </w:p>
    <w:p w:rsidR="00C46B8C" w:rsidRPr="00C46B8C" w:rsidRDefault="00C46B8C" w:rsidP="00C46B8C">
      <w:pPr>
        <w:spacing w:after="0" w:line="240" w:lineRule="auto"/>
        <w:jc w:val="center"/>
        <w:rPr>
          <w:rFonts w:cs="Arial"/>
          <w:b/>
        </w:rPr>
      </w:pPr>
    </w:p>
    <w:p w:rsidR="003F12C4" w:rsidRPr="00C46B8C" w:rsidRDefault="003F12C4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1) Details of investigator/ inventor (including name, designation and affiliation of researcher(s</w:t>
      </w:r>
      <w:proofErr w:type="gramStart"/>
      <w:r w:rsidRPr="00C46B8C">
        <w:rPr>
          <w:rFonts w:cs="Arial"/>
          <w:sz w:val="24"/>
        </w:rPr>
        <w:t>)</w:t>
      </w:r>
      <w:r w:rsidR="0047727E" w:rsidRPr="00C46B8C">
        <w:rPr>
          <w:rFonts w:cs="Arial"/>
          <w:sz w:val="24"/>
        </w:rPr>
        <w:t>:</w:t>
      </w:r>
      <w:proofErr w:type="gramEnd"/>
    </w:p>
    <w:p w:rsidR="003F12C4" w:rsidRPr="00C46B8C" w:rsidRDefault="003F12C4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2) Contact details – phone &amp; email </w:t>
      </w:r>
    </w:p>
    <w:p w:rsidR="006E752F" w:rsidRDefault="003F12C4" w:rsidP="00570131">
      <w:pPr>
        <w:spacing w:after="0" w:line="240" w:lineRule="auto"/>
        <w:jc w:val="both"/>
        <w:rPr>
          <w:rFonts w:eastAsia="Times New Roman" w:cs="Arial"/>
          <w:b/>
          <w:bCs/>
          <w:color w:val="000000"/>
          <w:sz w:val="24"/>
          <w:lang w:eastAsia="en-IN"/>
        </w:rPr>
      </w:pPr>
      <w:r w:rsidRPr="00C46B8C">
        <w:rPr>
          <w:rFonts w:cs="Arial"/>
          <w:sz w:val="24"/>
        </w:rPr>
        <w:t>3) Summary of p</w:t>
      </w:r>
      <w:r w:rsidR="005E038E" w:rsidRPr="00C46B8C">
        <w:rPr>
          <w:rFonts w:cs="Arial"/>
          <w:sz w:val="24"/>
        </w:rPr>
        <w:t>roduct (in less than 250 words)</w:t>
      </w:r>
      <w:r w:rsidR="005E038E" w:rsidRPr="00C46B8C">
        <w:rPr>
          <w:rFonts w:eastAsia="Times New Roman" w:cs="Arial"/>
          <w:b/>
          <w:bCs/>
          <w:color w:val="000000"/>
          <w:sz w:val="24"/>
          <w:lang w:eastAsia="en-IN"/>
        </w:rPr>
        <w:t xml:space="preserve">: </w:t>
      </w:r>
    </w:p>
    <w:p w:rsidR="006D3E8E" w:rsidRPr="00C46B8C" w:rsidRDefault="005E038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A structured summary should contain the following subheadings: Rationale/ gaps in existing knowledge, Novelty, Objectives, Methods, and Expected outcome.</w:t>
      </w:r>
    </w:p>
    <w:p w:rsidR="003F12C4" w:rsidRPr="00C46B8C" w:rsidRDefault="003F12C4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4) Type of </w:t>
      </w:r>
      <w:r w:rsidR="000E21A9" w:rsidRPr="00C46B8C">
        <w:rPr>
          <w:rFonts w:cs="Arial"/>
          <w:sz w:val="24"/>
        </w:rPr>
        <w:t>Technology</w:t>
      </w:r>
      <w:r w:rsidRPr="00C46B8C">
        <w:rPr>
          <w:rFonts w:cs="Arial"/>
          <w:sz w:val="24"/>
        </w:rPr>
        <w:t xml:space="preserve">: </w:t>
      </w:r>
      <w:r w:rsidR="000E21A9" w:rsidRPr="00C46B8C">
        <w:rPr>
          <w:rFonts w:cs="Arial"/>
          <w:sz w:val="24"/>
        </w:rPr>
        <w:t xml:space="preserve">Medical Device/ </w:t>
      </w:r>
      <w:r w:rsidR="000E21A9" w:rsidRPr="00C46B8C">
        <w:rPr>
          <w:rFonts w:cs="Arial"/>
          <w:i/>
          <w:sz w:val="24"/>
        </w:rPr>
        <w:t>In-vitro</w:t>
      </w:r>
      <w:r w:rsidR="000E21A9" w:rsidRPr="00C46B8C">
        <w:rPr>
          <w:rFonts w:cs="Arial"/>
          <w:sz w:val="24"/>
        </w:rPr>
        <w:t xml:space="preserve"> Diagnostics</w:t>
      </w:r>
    </w:p>
    <w:p w:rsidR="005E038E" w:rsidRPr="00C46B8C" w:rsidRDefault="003F12C4" w:rsidP="00570131">
      <w:pPr>
        <w:spacing w:after="0" w:line="240" w:lineRule="auto"/>
        <w:jc w:val="both"/>
        <w:rPr>
          <w:rFonts w:eastAsia="Times New Roman" w:cs="Arial"/>
          <w:bCs/>
          <w:color w:val="000000"/>
          <w:sz w:val="24"/>
          <w:lang w:eastAsia="en-IN"/>
        </w:rPr>
      </w:pPr>
      <w:r w:rsidRPr="00C46B8C">
        <w:rPr>
          <w:rFonts w:cs="Arial"/>
          <w:sz w:val="24"/>
        </w:rPr>
        <w:t xml:space="preserve">5) </w:t>
      </w:r>
      <w:r w:rsidR="005E038E" w:rsidRPr="00C46B8C">
        <w:rPr>
          <w:rFonts w:eastAsia="Times New Roman" w:cs="Arial"/>
          <w:bCs/>
          <w:color w:val="000000"/>
          <w:sz w:val="24"/>
          <w:lang w:eastAsia="en-IN"/>
        </w:rPr>
        <w:t xml:space="preserve">Preliminary work </w:t>
      </w:r>
      <w:r w:rsidR="005E038E" w:rsidRPr="00C46B8C">
        <w:rPr>
          <w:rFonts w:eastAsia="Times New Roman" w:cs="Arial"/>
          <w:color w:val="000000"/>
          <w:sz w:val="24"/>
          <w:lang w:eastAsia="en-IN"/>
        </w:rPr>
        <w:t>done by the PI including the source of funding (up to 250 words): (</w:t>
      </w:r>
      <w:r w:rsidR="005E038E" w:rsidRPr="00C46B8C">
        <w:rPr>
          <w:rFonts w:eastAsia="Times New Roman" w:cs="Arial"/>
          <w:bCs/>
          <w:color w:val="000000"/>
          <w:sz w:val="24"/>
          <w:lang w:eastAsia="en-IN"/>
        </w:rPr>
        <w:t>Proof of concept as applicable)</w:t>
      </w:r>
    </w:p>
    <w:p w:rsidR="0047727E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6) MD-13 License Status: Issued / Applied</w:t>
      </w:r>
    </w:p>
    <w:p w:rsidR="0047727E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7) Technology Readiness Level (TRL):</w:t>
      </w:r>
    </w:p>
    <w:p w:rsidR="005E038E" w:rsidRPr="00C46B8C" w:rsidRDefault="0047727E" w:rsidP="00570131">
      <w:p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bCs/>
          <w:color w:val="000000"/>
          <w:sz w:val="24"/>
          <w:lang w:eastAsia="en-IN"/>
        </w:rPr>
        <w:t>8</w:t>
      </w:r>
      <w:r w:rsidR="006F3B2E" w:rsidRPr="00C46B8C">
        <w:rPr>
          <w:rFonts w:eastAsia="Times New Roman" w:cs="Arial"/>
          <w:bCs/>
          <w:color w:val="000000"/>
          <w:sz w:val="24"/>
          <w:lang w:eastAsia="en-IN"/>
        </w:rPr>
        <w:t xml:space="preserve">) </w:t>
      </w:r>
      <w:r w:rsidR="005E038E" w:rsidRPr="00C46B8C">
        <w:rPr>
          <w:rFonts w:eastAsia="Times New Roman" w:cs="Arial"/>
          <w:bCs/>
          <w:color w:val="000000"/>
          <w:sz w:val="24"/>
          <w:lang w:eastAsia="en-IN"/>
        </w:rPr>
        <w:t xml:space="preserve">Methodology: </w:t>
      </w:r>
      <w:r w:rsidR="005E038E" w:rsidRPr="00C46B8C">
        <w:rPr>
          <w:rFonts w:eastAsia="Times New Roman" w:cs="Arial"/>
          <w:color w:val="000000"/>
          <w:sz w:val="24"/>
          <w:lang w:eastAsia="en-IN"/>
        </w:rPr>
        <w:t>Include objective-wise work plan under the following sub-headings:</w:t>
      </w:r>
    </w:p>
    <w:p w:rsidR="00791E87" w:rsidRPr="00C46B8C" w:rsidRDefault="00791E87" w:rsidP="00791E8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 xml:space="preserve">Number of </w:t>
      </w:r>
      <w:r>
        <w:rPr>
          <w:rFonts w:eastAsia="Times New Roman" w:cs="Arial"/>
          <w:color w:val="000000"/>
          <w:sz w:val="24"/>
          <w:lang w:eastAsia="en-IN"/>
        </w:rPr>
        <w:t>units/test batch</w:t>
      </w:r>
      <w:r w:rsidRPr="00C46B8C">
        <w:rPr>
          <w:rFonts w:eastAsia="Times New Roman" w:cs="Arial"/>
          <w:color w:val="000000"/>
          <w:sz w:val="24"/>
          <w:lang w:eastAsia="en-IN"/>
        </w:rPr>
        <w:t xml:space="preserve"> to be manufactured with justification </w:t>
      </w:r>
    </w:p>
    <w:p w:rsidR="005E038E" w:rsidRPr="00C46B8C" w:rsidRDefault="009E6FB7" w:rsidP="0057013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Bench-top Testing and/or</w:t>
      </w:r>
      <w:r w:rsidR="005E038E" w:rsidRPr="00C46B8C">
        <w:rPr>
          <w:rFonts w:eastAsia="Times New Roman" w:cs="Arial"/>
          <w:color w:val="000000"/>
          <w:sz w:val="24"/>
          <w:lang w:eastAsia="en-IN"/>
        </w:rPr>
        <w:t xml:space="preserve"> Preclinical Study site </w:t>
      </w:r>
    </w:p>
    <w:p w:rsidR="005E038E" w:rsidRPr="00C46B8C" w:rsidRDefault="005E038E" w:rsidP="0057013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 w:cs="Arial"/>
          <w:sz w:val="28"/>
          <w:szCs w:val="24"/>
          <w:lang w:eastAsia="en-IN"/>
        </w:rPr>
      </w:pPr>
      <w:r w:rsidRPr="00C46B8C">
        <w:rPr>
          <w:rFonts w:eastAsia="Times New Roman" w:cs="Arial"/>
          <w:color w:val="000000"/>
          <w:sz w:val="24"/>
          <w:lang w:eastAsia="en-IN"/>
        </w:rPr>
        <w:t>Project implementation plan (manufacturing and testing as applicable</w:t>
      </w:r>
      <w:r w:rsidR="003853F4" w:rsidRPr="00C46B8C">
        <w:rPr>
          <w:rFonts w:eastAsia="Times New Roman" w:cs="Arial"/>
          <w:color w:val="000000"/>
          <w:sz w:val="24"/>
          <w:lang w:eastAsia="en-IN"/>
        </w:rPr>
        <w:t>)</w:t>
      </w:r>
      <w:r w:rsidRPr="00C46B8C">
        <w:rPr>
          <w:rFonts w:eastAsia="Times New Roman" w:cs="Arial"/>
          <w:color w:val="000000"/>
          <w:sz w:val="24"/>
          <w:lang w:eastAsia="en-IN"/>
        </w:rPr>
        <w:t> </w:t>
      </w:r>
    </w:p>
    <w:p w:rsidR="003F12C4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9</w:t>
      </w:r>
      <w:r w:rsidR="005E038E" w:rsidRPr="00C46B8C">
        <w:rPr>
          <w:rFonts w:cs="Arial"/>
          <w:sz w:val="24"/>
        </w:rPr>
        <w:t xml:space="preserve">) </w:t>
      </w:r>
      <w:r w:rsidR="003F12C4" w:rsidRPr="00C46B8C">
        <w:rPr>
          <w:rFonts w:cs="Arial"/>
          <w:sz w:val="24"/>
        </w:rPr>
        <w:t>Inputs on each of the review criteria (</w:t>
      </w:r>
      <w:proofErr w:type="spellStart"/>
      <w:r w:rsidR="003F12C4" w:rsidRPr="00C46B8C">
        <w:rPr>
          <w:rFonts w:cs="Arial"/>
          <w:sz w:val="24"/>
        </w:rPr>
        <w:t>upto</w:t>
      </w:r>
      <w:proofErr w:type="spellEnd"/>
      <w:r w:rsidR="003F12C4" w:rsidRPr="00C46B8C">
        <w:rPr>
          <w:rFonts w:cs="Arial"/>
          <w:sz w:val="24"/>
        </w:rPr>
        <w:t xml:space="preserve"> 500 words each). Documentary evidence to be uploaded for each. </w:t>
      </w:r>
    </w:p>
    <w:p w:rsidR="003F12C4" w:rsidRPr="00C46B8C" w:rsidRDefault="003F12C4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a. Need for the product </w:t>
      </w:r>
    </w:p>
    <w:p w:rsidR="003F12C4" w:rsidRPr="00C46B8C" w:rsidRDefault="003F12C4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b. Novelty </w:t>
      </w:r>
    </w:p>
    <w:p w:rsidR="003F12C4" w:rsidRPr="00C46B8C" w:rsidRDefault="003F12C4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c. Impact on the health condition </w:t>
      </w:r>
    </w:p>
    <w:p w:rsidR="003F12C4" w:rsidRPr="00C46B8C" w:rsidRDefault="003F12C4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d. Techno-commercial evaluation </w:t>
      </w:r>
    </w:p>
    <w:p w:rsidR="003F12C4" w:rsidRDefault="003F12C4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 xml:space="preserve">e. Readiness for </w:t>
      </w:r>
      <w:r w:rsidR="00987AAA">
        <w:rPr>
          <w:rFonts w:cs="Arial"/>
          <w:sz w:val="24"/>
        </w:rPr>
        <w:t>Test License (MD-13)</w:t>
      </w:r>
      <w:r w:rsidRPr="00C46B8C">
        <w:rPr>
          <w:rFonts w:cs="Arial"/>
          <w:sz w:val="24"/>
        </w:rPr>
        <w:t xml:space="preserve"> </w:t>
      </w:r>
    </w:p>
    <w:p w:rsidR="00951C0E" w:rsidRPr="00C46B8C" w:rsidRDefault="00951C0E" w:rsidP="00570131">
      <w:pPr>
        <w:spacing w:after="0" w:line="240" w:lineRule="auto"/>
        <w:ind w:left="284"/>
        <w:jc w:val="both"/>
        <w:rPr>
          <w:rFonts w:cs="Arial"/>
          <w:sz w:val="24"/>
        </w:rPr>
      </w:pPr>
      <w:r>
        <w:rPr>
          <w:rFonts w:cs="Arial"/>
          <w:sz w:val="24"/>
        </w:rPr>
        <w:t>f. Alignment with National Health Priorities</w:t>
      </w:r>
    </w:p>
    <w:p w:rsidR="003F12C4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10</w:t>
      </w:r>
      <w:r w:rsidR="003F12C4" w:rsidRPr="00C46B8C">
        <w:rPr>
          <w:rFonts w:cs="Arial"/>
          <w:sz w:val="24"/>
        </w:rPr>
        <w:t xml:space="preserve">) In case of </w:t>
      </w:r>
      <w:proofErr w:type="spellStart"/>
      <w:r w:rsidR="003F12C4" w:rsidRPr="00C46B8C">
        <w:rPr>
          <w:rFonts w:cs="Arial"/>
          <w:sz w:val="24"/>
        </w:rPr>
        <w:t>EoI</w:t>
      </w:r>
      <w:proofErr w:type="spellEnd"/>
      <w:r w:rsidR="003F12C4" w:rsidRPr="00C46B8C">
        <w:rPr>
          <w:rFonts w:cs="Arial"/>
          <w:sz w:val="24"/>
        </w:rPr>
        <w:t xml:space="preserve"> from academia/ NGO, please share details of potential technology transfer agreements being planned (in less than 100 words) </w:t>
      </w:r>
    </w:p>
    <w:p w:rsidR="003F12C4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11</w:t>
      </w:r>
      <w:r w:rsidR="003F12C4" w:rsidRPr="00C46B8C">
        <w:rPr>
          <w:rFonts w:cs="Arial"/>
          <w:sz w:val="24"/>
        </w:rPr>
        <w:t xml:space="preserve">) Describe the future plans for possible product development lifecycle/ clinical development plans (in less than 250 words) </w:t>
      </w:r>
    </w:p>
    <w:p w:rsidR="003F12C4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12</w:t>
      </w:r>
      <w:r w:rsidR="003F12C4" w:rsidRPr="00C46B8C">
        <w:rPr>
          <w:rFonts w:cs="Arial"/>
          <w:sz w:val="24"/>
        </w:rPr>
        <w:t xml:space="preserve">) Valid DSIR certificate available – Y/ N </w:t>
      </w:r>
    </w:p>
    <w:p w:rsidR="003F12C4" w:rsidRPr="00C46B8C" w:rsidRDefault="0047727E" w:rsidP="00570131">
      <w:pPr>
        <w:spacing w:after="0" w:line="240" w:lineRule="auto"/>
        <w:jc w:val="both"/>
        <w:rPr>
          <w:rFonts w:cs="Arial"/>
          <w:sz w:val="24"/>
        </w:rPr>
      </w:pPr>
      <w:r w:rsidRPr="00C46B8C">
        <w:rPr>
          <w:rFonts w:cs="Arial"/>
          <w:sz w:val="24"/>
        </w:rPr>
        <w:t>13</w:t>
      </w:r>
      <w:r w:rsidR="003F12C4" w:rsidRPr="00C46B8C">
        <w:rPr>
          <w:rFonts w:cs="Arial"/>
          <w:sz w:val="24"/>
        </w:rPr>
        <w:t>) Current &amp; immediate intellectual property status (</w:t>
      </w:r>
      <w:proofErr w:type="spellStart"/>
      <w:r w:rsidR="003F12C4" w:rsidRPr="00C46B8C">
        <w:rPr>
          <w:rFonts w:cs="Arial"/>
          <w:sz w:val="24"/>
        </w:rPr>
        <w:t>upto</w:t>
      </w:r>
      <w:proofErr w:type="spellEnd"/>
      <w:r w:rsidR="003F12C4" w:rsidRPr="00C46B8C">
        <w:rPr>
          <w:rFonts w:cs="Arial"/>
          <w:sz w:val="24"/>
        </w:rPr>
        <w:t xml:space="preserve"> 250 words).</w:t>
      </w:r>
    </w:p>
    <w:sectPr w:rsidR="003F12C4" w:rsidRPr="00C46B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1B59A5"/>
    <w:multiLevelType w:val="hybridMultilevel"/>
    <w:tmpl w:val="AA9808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47866"/>
    <w:multiLevelType w:val="hybridMultilevel"/>
    <w:tmpl w:val="55EA86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214F4"/>
    <w:multiLevelType w:val="hybridMultilevel"/>
    <w:tmpl w:val="116CD9A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20C56"/>
    <w:multiLevelType w:val="hybridMultilevel"/>
    <w:tmpl w:val="E684FB40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5982316"/>
    <w:multiLevelType w:val="hybridMultilevel"/>
    <w:tmpl w:val="7DDA878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5390A"/>
    <w:multiLevelType w:val="hybridMultilevel"/>
    <w:tmpl w:val="E8E655A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2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B155D"/>
    <w:rsid w:val="000E21A9"/>
    <w:rsid w:val="00100348"/>
    <w:rsid w:val="00105FA9"/>
    <w:rsid w:val="001273D1"/>
    <w:rsid w:val="0015074B"/>
    <w:rsid w:val="001B3AB6"/>
    <w:rsid w:val="001B4A74"/>
    <w:rsid w:val="001E7B69"/>
    <w:rsid w:val="00205D3B"/>
    <w:rsid w:val="00281203"/>
    <w:rsid w:val="0029639D"/>
    <w:rsid w:val="002C1805"/>
    <w:rsid w:val="002F2046"/>
    <w:rsid w:val="00326F90"/>
    <w:rsid w:val="003853F4"/>
    <w:rsid w:val="003F12C4"/>
    <w:rsid w:val="004124CC"/>
    <w:rsid w:val="00452B00"/>
    <w:rsid w:val="004618E6"/>
    <w:rsid w:val="0047434A"/>
    <w:rsid w:val="0047727E"/>
    <w:rsid w:val="004A2BE1"/>
    <w:rsid w:val="0050651D"/>
    <w:rsid w:val="0051170A"/>
    <w:rsid w:val="00564842"/>
    <w:rsid w:val="00570131"/>
    <w:rsid w:val="005E038E"/>
    <w:rsid w:val="005E083B"/>
    <w:rsid w:val="0060049D"/>
    <w:rsid w:val="00673F2D"/>
    <w:rsid w:val="006B1D66"/>
    <w:rsid w:val="006D3E8E"/>
    <w:rsid w:val="006E1BCA"/>
    <w:rsid w:val="006E752F"/>
    <w:rsid w:val="006F3B2E"/>
    <w:rsid w:val="007470C8"/>
    <w:rsid w:val="00791E87"/>
    <w:rsid w:val="007E56BA"/>
    <w:rsid w:val="00817BD2"/>
    <w:rsid w:val="00842F30"/>
    <w:rsid w:val="008820A9"/>
    <w:rsid w:val="008913B5"/>
    <w:rsid w:val="00951C0E"/>
    <w:rsid w:val="00974821"/>
    <w:rsid w:val="00987AAA"/>
    <w:rsid w:val="009928A7"/>
    <w:rsid w:val="009B6A43"/>
    <w:rsid w:val="009E6FB7"/>
    <w:rsid w:val="00A41138"/>
    <w:rsid w:val="00AA1D8D"/>
    <w:rsid w:val="00AB4B3A"/>
    <w:rsid w:val="00AD198A"/>
    <w:rsid w:val="00B31DDF"/>
    <w:rsid w:val="00B3622F"/>
    <w:rsid w:val="00B47730"/>
    <w:rsid w:val="00BD42F3"/>
    <w:rsid w:val="00C340B1"/>
    <w:rsid w:val="00C46B8C"/>
    <w:rsid w:val="00C83716"/>
    <w:rsid w:val="00CB0664"/>
    <w:rsid w:val="00CD135B"/>
    <w:rsid w:val="00D720E3"/>
    <w:rsid w:val="00E377F8"/>
    <w:rsid w:val="00EB7CE5"/>
    <w:rsid w:val="00F56B0B"/>
    <w:rsid w:val="00F81B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830FA"/>
  <w14:defaultImageDpi w14:val="300"/>
  <w15:docId w15:val="{448C4CBE-F7A2-4B6C-AFF3-B32F81A4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CC1542-44DA-4893-8E9A-8ED61B94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Jyoti Batra</cp:lastModifiedBy>
  <cp:revision>2</cp:revision>
  <dcterms:created xsi:type="dcterms:W3CDTF">2025-09-26T09:15:00Z</dcterms:created>
  <dcterms:modified xsi:type="dcterms:W3CDTF">2025-09-26T09:15:00Z</dcterms:modified>
  <cp:category/>
</cp:coreProperties>
</file>